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sz w:val="28"/>
          <w:szCs w:val="28"/>
        </w:rPr>
        <w:t>ПУБЛИЧНОЕ  АКЦИОНЕРНОЕ ОБЩЕСТВО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6"/>
          <w:szCs w:val="26"/>
          <w:u w:val="single"/>
        </w:rPr>
        <w:t>«Судоремонтно-судостроительная корпорация»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6"/>
          <w:szCs w:val="26"/>
        </w:rPr>
        <w:t xml:space="preserve">ОГРН 1025203027134   ИНН 5260100856   </w:t>
      </w:r>
    </w:p>
    <w:p>
      <w:pPr>
        <w:pStyle w:val="Normal"/>
        <w:bidi w:val="0"/>
        <w:spacing w:lineRule="atLeast" w:line="240"/>
        <w:ind w:left="0" w:right="0" w:hanging="0"/>
        <w:jc w:val="center"/>
        <w:rPr/>
      </w:pPr>
      <w:r>
        <w:rPr>
          <w:sz w:val="20"/>
          <w:szCs w:val="20"/>
          <w:lang w:eastAsia="en-US"/>
        </w:rPr>
        <w:t>Адрес:</w:t>
      </w:r>
      <w:r>
        <w:rPr>
          <w:color w:val="000000"/>
          <w:sz w:val="20"/>
          <w:szCs w:val="20"/>
          <w:lang w:eastAsia="en-US"/>
        </w:rPr>
        <w:t xml:space="preserve"> 606505, Нижегородская область, Городецкий район, город Городец, 1-й Пожарный переулок, дом 1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Normal"/>
        <w:bidi w:val="0"/>
        <w:spacing w:lineRule="atLeast" w:line="240"/>
        <w:ind w:left="0" w:right="0" w:hanging="0"/>
        <w:jc w:val="center"/>
        <w:rPr/>
      </w:pPr>
      <w:r>
        <w:rPr>
          <w:b/>
          <w:bCs/>
          <w:sz w:val="28"/>
          <w:szCs w:val="28"/>
          <w:lang w:eastAsia="en-US"/>
        </w:rPr>
        <w:t>Информационное сообщение</w:t>
      </w:r>
    </w:p>
    <w:p>
      <w:pPr>
        <w:pStyle w:val="Normal"/>
        <w:bidi w:val="0"/>
        <w:spacing w:lineRule="atLeast" w:line="240"/>
        <w:ind w:left="0" w:right="0" w:hanging="0"/>
        <w:jc w:val="center"/>
        <w:rPr/>
      </w:pPr>
      <w:r>
        <w:rPr>
          <w:b/>
          <w:bCs/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годового Общего собрания акционеров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Doc"/>
        <w:bidi w:val="0"/>
        <w:spacing w:lineRule="atLeast" w:line="24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8"/>
          <w:szCs w:val="28"/>
        </w:rPr>
        <w:t>Уважаемый акционер!</w:t>
      </w:r>
    </w:p>
    <w:p>
      <w:pPr>
        <w:pStyle w:val="Normal"/>
        <w:bidi w:val="0"/>
        <w:ind w:left="0" w:right="0" w:firstLine="709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2"/>
          <w:szCs w:val="22"/>
        </w:rPr>
        <w:t xml:space="preserve">Совет директоров публичного акционерного общества «Судоремонтно-судостроительная корпорация» (далее по тексту также – Общество), находящегося по адресу: </w:t>
      </w:r>
      <w:r>
        <w:rPr>
          <w:color w:val="000000"/>
          <w:sz w:val="22"/>
          <w:szCs w:val="22"/>
        </w:rPr>
        <w:t xml:space="preserve">606505, Нижегородская область, Городецкий район, город Городец, 1-й Пожарный переулок, дом 1, сообщает Вам о проведении годового (очередного) Общего собрания акционеров ПАО «ССК» </w:t>
      </w:r>
      <w:r>
        <w:rPr>
          <w:b/>
          <w:bCs/>
          <w:i/>
          <w:iCs/>
          <w:color w:val="000000"/>
          <w:sz w:val="22"/>
          <w:szCs w:val="22"/>
          <w:u w:val="single"/>
        </w:rPr>
        <w:t>в форме заочного голосования.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2"/>
          <w:szCs w:val="22"/>
        </w:rPr>
        <w:t>Дата проведения годового общего собрания (дата окончания приема бюллетеней для голосования):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  <w:u w:val="single"/>
        </w:rPr>
        <w:t>«23» июня 2023 года.</w:t>
      </w:r>
    </w:p>
    <w:p>
      <w:pPr>
        <w:pStyle w:val="Normal"/>
        <w:bidi w:val="0"/>
        <w:ind w:left="0" w:right="0" w:firstLine="709"/>
        <w:jc w:val="both"/>
        <w:rPr/>
      </w:pPr>
      <w:r>
        <w:rPr>
          <w:color w:val="000000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>
        <w:rPr>
          <w:b/>
          <w:bCs/>
          <w:i/>
          <w:iCs/>
          <w:color w:val="000000"/>
          <w:sz w:val="22"/>
          <w:szCs w:val="22"/>
          <w:u w:val="single"/>
        </w:rPr>
        <w:t>606505, Нижегородская область, Городецкий район, город Городец, 1-й Пожарный переулок, дом 1.</w:t>
      </w:r>
    </w:p>
    <w:p>
      <w:pPr>
        <w:pStyle w:val="Normal"/>
        <w:bidi w:val="0"/>
        <w:spacing w:lineRule="atLeast" w:line="60"/>
        <w:ind w:left="0" w:right="-1" w:firstLine="709"/>
        <w:jc w:val="both"/>
        <w:rPr/>
      </w:pPr>
      <w:r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</w:t>
      </w:r>
      <w:r>
        <w:rPr>
          <w:b/>
          <w:bCs/>
          <w:i/>
          <w:iCs/>
          <w:sz w:val="22"/>
          <w:szCs w:val="22"/>
          <w:u w:val="single"/>
        </w:rPr>
        <w:t>«29» мая 2023 года.</w:t>
      </w:r>
    </w:p>
    <w:p>
      <w:pPr>
        <w:pStyle w:val="Normal"/>
        <w:bidi w:val="0"/>
        <w:spacing w:lineRule="atLeast" w:line="60"/>
        <w:ind w:left="0" w:right="-1" w:firstLine="709"/>
        <w:jc w:val="both"/>
        <w:rPr/>
      </w:pPr>
      <w:r>
        <w:rPr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bCs/>
          <w:i/>
          <w:iCs/>
          <w:sz w:val="22"/>
          <w:szCs w:val="22"/>
          <w:u w:val="single"/>
        </w:rPr>
        <w:t>акции именные обыкновенные</w:t>
      </w:r>
      <w:r>
        <w:rPr>
          <w:sz w:val="22"/>
          <w:szCs w:val="22"/>
        </w:rPr>
        <w:t xml:space="preserve">. </w:t>
      </w:r>
    </w:p>
    <w:p>
      <w:pPr>
        <w:pStyle w:val="Normal"/>
        <w:bidi w:val="0"/>
        <w:spacing w:lineRule="atLeast" w:line="60"/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bidi w:val="0"/>
        <w:ind w:left="709" w:right="0" w:hanging="0"/>
        <w:jc w:val="center"/>
        <w:rPr/>
      </w:pPr>
      <w:r>
        <w:rPr>
          <w:b/>
          <w:bCs/>
          <w:color w:val="000000"/>
          <w:sz w:val="22"/>
          <w:szCs w:val="22"/>
        </w:rPr>
        <w:t>ПОВЕСТКА ДНЯ ГОДОВОГО ОБЩЕГО СОБРАНИЯ АКЦИОНЕРОВ:</w:t>
      </w:r>
    </w:p>
    <w:p>
      <w:pPr>
        <w:pStyle w:val="Normal"/>
        <w:bidi w:val="0"/>
        <w:ind w:left="0" w:right="0" w:firstLine="709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-2" w:firstLine="709"/>
        <w:rPr/>
      </w:pPr>
      <w:r>
        <w:rPr>
          <w:spacing w:val="-1"/>
          <w:sz w:val="22"/>
          <w:szCs w:val="22"/>
        </w:rPr>
        <w:t>Утверждение годового отчета Общества за 2022 год.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-2" w:firstLine="709"/>
        <w:rPr/>
      </w:pPr>
      <w:r>
        <w:rPr>
          <w:spacing w:val="-1"/>
          <w:sz w:val="22"/>
          <w:szCs w:val="22"/>
        </w:rPr>
        <w:t>Утверждение годовой бухгалтерской (финансовой) отчетности Общества за 2022 год.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-2" w:firstLine="709"/>
        <w:rPr/>
      </w:pPr>
      <w:r>
        <w:rPr>
          <w:sz w:val="22"/>
          <w:szCs w:val="22"/>
        </w:rPr>
        <w:t>Распределение прибыли (в том числе выплата (объявление) дивидендов) и убытков за 2022 финансовый год.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-2" w:firstLine="709"/>
        <w:rPr/>
      </w:pPr>
      <w:r>
        <w:rPr>
          <w:spacing w:val="-1"/>
          <w:sz w:val="22"/>
          <w:szCs w:val="22"/>
        </w:rPr>
        <w:t>Назначение аудиторской организации Общества.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-2" w:firstLine="709"/>
        <w:rPr/>
      </w:pPr>
      <w:r>
        <w:rPr>
          <w:spacing w:val="-1"/>
          <w:sz w:val="22"/>
          <w:szCs w:val="22"/>
        </w:rPr>
        <w:t>Избрание членов Совета директоров Общества.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-2" w:firstLine="709"/>
        <w:rPr/>
      </w:pPr>
      <w:r>
        <w:rPr>
          <w:spacing w:val="-1"/>
          <w:sz w:val="22"/>
          <w:szCs w:val="22"/>
        </w:rPr>
        <w:t>Избрание членов ревизионной комиссии Общества</w:t>
      </w:r>
    </w:p>
    <w:p>
      <w:pPr>
        <w:pStyle w:val="Normal"/>
        <w:bidi w:val="0"/>
        <w:spacing w:lineRule="atLeast" w:line="60"/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60"/>
        <w:ind w:left="0" w:right="-1" w:firstLine="709"/>
        <w:jc w:val="both"/>
        <w:rPr/>
      </w:pPr>
      <w:r>
        <w:rPr>
          <w:sz w:val="22"/>
          <w:szCs w:val="22"/>
        </w:rPr>
        <w:t>Ознакомление с информацией (материалами), предоставляемой лицам, имеющим право на участие в общем собрании акционеров, при подготовке к проведению общего собрания акционеров, осуществляется с «02» июня 2023 года в рабочие дни с 9 часов 00 минут до 16 часов 00 минут (перерыв с 12 часов 00 минут до 13 часов 00 минут) по адресу: 606505, Нижегородская область, Городецкий район, город Городец, 1-й Пожарный переулок, дом 1, в кабинете № 3 здания заводоуправления Общества.</w:t>
        <w:tab/>
      </w:r>
    </w:p>
    <w:p>
      <w:pPr>
        <w:pStyle w:val="Style18"/>
        <w:bidi w:val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ind w:left="0" w:right="0" w:firstLine="709"/>
        <w:jc w:val="both"/>
        <w:rPr/>
      </w:pPr>
      <w:r>
        <w:rPr>
          <w:sz w:val="22"/>
          <w:szCs w:val="22"/>
        </w:rPr>
        <w:t xml:space="preserve">Информация о регистраторе: Полное фирменное наименование регистратора: Общество с ограниченной ответственностью «ПАРТНЁР»; Место нахождения регистратора: Российская Федерация, Вологодская область, г. Череповец, проспект Победы, дом 22; Почтовый адрес регистратора: 162606, Вологодская область, г. Череповец, проспект Победы, дом 22; Наименование филиала: Нижегородский филиал ООО «ПАРТНЁР»; Почтовый адрес филиала: 603005, г. Нижний Новгород, ул. Нестерова, д. 9, оф.502. </w:t>
      </w:r>
    </w:p>
    <w:p>
      <w:pPr>
        <w:pStyle w:val="Style18"/>
        <w:bidi w:val="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bidi w:val="0"/>
        <w:ind w:left="0" w:right="0" w:firstLine="709"/>
        <w:jc w:val="both"/>
        <w:rPr/>
      </w:pPr>
      <w:r>
        <w:rPr>
          <w:sz w:val="22"/>
          <w:szCs w:val="22"/>
        </w:rPr>
        <w:t>Телефон для справок: (83161) 9-37-72, (83161) 2-92-70.</w:t>
      </w:r>
    </w:p>
    <w:p>
      <w:pPr>
        <w:pStyle w:val="Normal"/>
        <w:bidi w:val="0"/>
        <w:ind w:left="0" w:right="0" w:firstLine="709"/>
        <w:jc w:val="right"/>
        <w:rPr/>
      </w:pPr>
      <w:r>
        <w:rPr>
          <w:b/>
          <w:bCs/>
          <w:color w:val="000000"/>
          <w:sz w:val="22"/>
          <w:szCs w:val="22"/>
          <w:lang w:eastAsia="en-US"/>
        </w:rPr>
        <w:t xml:space="preserve">                                                 </w:t>
      </w:r>
    </w:p>
    <w:p>
      <w:pPr>
        <w:pStyle w:val="Normal"/>
        <w:bidi w:val="0"/>
        <w:ind w:left="0" w:right="0" w:firstLine="709"/>
        <w:jc w:val="right"/>
        <w:rPr>
          <w:rFonts w:ascii="Times New Roman" w:hAnsi="Times New Roman"/>
          <w:b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</w:r>
    </w:p>
    <w:p>
      <w:pPr>
        <w:pStyle w:val="Normal"/>
        <w:bidi w:val="0"/>
        <w:ind w:left="0" w:right="0" w:firstLine="709"/>
        <w:rPr/>
      </w:pPr>
      <w:r>
        <w:rPr>
          <w:b/>
          <w:bCs/>
          <w:sz w:val="22"/>
          <w:szCs w:val="22"/>
          <w:lang w:eastAsia="en-US"/>
        </w:rPr>
        <w:t>Совет директоров  ПАО «ССК»</w:t>
      </w:r>
    </w:p>
    <w:sectPr>
      <w:type w:val="nextPage"/>
      <w:pgSz w:w="12240" w:h="15840"/>
      <w:pgMar w:left="993" w:right="758" w:header="0" w:top="851" w:footer="0" w:bottom="39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Название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5">
    <w:name w:val="Основной текст Знак"/>
    <w:basedOn w:val="DefaultParagraphFont"/>
    <w:qFormat/>
    <w:rPr/>
  </w:style>
  <w:style w:type="character" w:styleId="Style16">
    <w:name w:val="Подзаголовок Знак"/>
    <w:basedOn w:val="DefaultParagraphFont"/>
    <w:qFormat/>
    <w:rPr>
      <w:rFonts w:ascii="Cambria" w:hAnsi="Cambria" w:cs="Cambria"/>
    </w:rPr>
  </w:style>
  <w:style w:type="character" w:styleId="RTFNum21">
    <w:name w:val="RTF_Num 2 1"/>
    <w:qFormat/>
    <w:rPr>
      <w:sz w:val="20"/>
    </w:rPr>
  </w:style>
  <w:style w:type="character" w:styleId="RTFNum22">
    <w:name w:val="RTF_Num 2 2"/>
    <w:qFormat/>
    <w:rPr>
      <w:sz w:val="20"/>
    </w:rPr>
  </w:style>
  <w:style w:type="character" w:styleId="RTFNum23">
    <w:name w:val="RTF_Num 2 3"/>
    <w:qFormat/>
    <w:rPr>
      <w:sz w:val="20"/>
    </w:rPr>
  </w:style>
  <w:style w:type="character" w:styleId="RTFNum24">
    <w:name w:val="RTF_Num 2 4"/>
    <w:qFormat/>
    <w:rPr>
      <w:sz w:val="20"/>
    </w:rPr>
  </w:style>
  <w:style w:type="character" w:styleId="RTFNum25">
    <w:name w:val="RTF_Num 2 5"/>
    <w:qFormat/>
    <w:rPr>
      <w:sz w:val="20"/>
    </w:rPr>
  </w:style>
  <w:style w:type="character" w:styleId="RTFNum26">
    <w:name w:val="RTF_Num 2 6"/>
    <w:qFormat/>
    <w:rPr>
      <w:sz w:val="20"/>
    </w:rPr>
  </w:style>
  <w:style w:type="character" w:styleId="RTFNum27">
    <w:name w:val="RTF_Num 2 7"/>
    <w:qFormat/>
    <w:rPr>
      <w:sz w:val="20"/>
    </w:rPr>
  </w:style>
  <w:style w:type="character" w:styleId="RTFNum28">
    <w:name w:val="RTF_Num 2 8"/>
    <w:qFormat/>
    <w:rPr>
      <w:sz w:val="20"/>
    </w:rPr>
  </w:style>
  <w:style w:type="character" w:styleId="RTFNum29">
    <w:name w:val="RTF_Num 2 9"/>
    <w:qFormat/>
    <w:rPr>
      <w:sz w:val="20"/>
    </w:rPr>
  </w:style>
  <w:style w:type="character" w:styleId="RTFNum210">
    <w:name w:val="RTF_Num 2 10"/>
    <w:qFormat/>
    <w:rPr>
      <w:sz w:val="20"/>
      <w:lang w:val="en-US" w:eastAsia="zxx"/>
    </w:rPr>
  </w:style>
  <w:style w:type="character" w:styleId="WWRTFNum21">
    <w:name w:val="WW-RTF_Num 2 1"/>
    <w:qFormat/>
    <w:rPr>
      <w:sz w:val="20"/>
    </w:rPr>
  </w:style>
  <w:style w:type="character" w:styleId="RTFNum31">
    <w:name w:val="RTF_Num 3 1"/>
    <w:qFormat/>
    <w:rPr>
      <w:sz w:val="20"/>
    </w:rPr>
  </w:style>
  <w:style w:type="character" w:styleId="RTFNum32">
    <w:name w:val="RTF_Num 3 2"/>
    <w:qFormat/>
    <w:rPr>
      <w:sz w:val="20"/>
    </w:rPr>
  </w:style>
  <w:style w:type="character" w:styleId="RTFNum33">
    <w:name w:val="RTF_Num 3 3"/>
    <w:qFormat/>
    <w:rPr>
      <w:sz w:val="20"/>
    </w:rPr>
  </w:style>
  <w:style w:type="character" w:styleId="RTFNum34">
    <w:name w:val="RTF_Num 3 4"/>
    <w:qFormat/>
    <w:rPr>
      <w:sz w:val="20"/>
    </w:rPr>
  </w:style>
  <w:style w:type="character" w:styleId="RTFNum35">
    <w:name w:val="RTF_Num 3 5"/>
    <w:qFormat/>
    <w:rPr>
      <w:sz w:val="20"/>
    </w:rPr>
  </w:style>
  <w:style w:type="character" w:styleId="RTFNum36">
    <w:name w:val="RTF_Num 3 6"/>
    <w:qFormat/>
    <w:rPr>
      <w:sz w:val="20"/>
    </w:rPr>
  </w:style>
  <w:style w:type="character" w:styleId="RTFNum37">
    <w:name w:val="RTF_Num 3 7"/>
    <w:qFormat/>
    <w:rPr>
      <w:sz w:val="20"/>
    </w:rPr>
  </w:style>
  <w:style w:type="character" w:styleId="RTFNum38">
    <w:name w:val="RTF_Num 3 8"/>
    <w:qFormat/>
    <w:rPr>
      <w:sz w:val="20"/>
    </w:rPr>
  </w:style>
  <w:style w:type="character" w:styleId="RTFNum39">
    <w:name w:val="RTF_Num 3 9"/>
    <w:qFormat/>
    <w:rPr>
      <w:sz w:val="20"/>
    </w:rPr>
  </w:style>
  <w:style w:type="character" w:styleId="RTFNum310">
    <w:name w:val="RTF_Num 3 10"/>
    <w:qFormat/>
    <w:rPr>
      <w:sz w:val="20"/>
      <w:lang w:val="en-US" w:eastAsia="zxx"/>
    </w:rPr>
  </w:style>
  <w:style w:type="character" w:styleId="RTFNum41">
    <w:name w:val="RTF_Num 4 1"/>
    <w:qFormat/>
    <w:rPr>
      <w:sz w:val="20"/>
    </w:rPr>
  </w:style>
  <w:style w:type="character" w:styleId="RTFNum42">
    <w:name w:val="RTF_Num 4 2"/>
    <w:qFormat/>
    <w:rPr>
      <w:sz w:val="20"/>
    </w:rPr>
  </w:style>
  <w:style w:type="character" w:styleId="RTFNum43">
    <w:name w:val="RTF_Num 4 3"/>
    <w:qFormat/>
    <w:rPr>
      <w:sz w:val="20"/>
    </w:rPr>
  </w:style>
  <w:style w:type="character" w:styleId="RTFNum44">
    <w:name w:val="RTF_Num 4 4"/>
    <w:qFormat/>
    <w:rPr>
      <w:sz w:val="20"/>
    </w:rPr>
  </w:style>
  <w:style w:type="character" w:styleId="RTFNum45">
    <w:name w:val="RTF_Num 4 5"/>
    <w:qFormat/>
    <w:rPr>
      <w:sz w:val="20"/>
    </w:rPr>
  </w:style>
  <w:style w:type="character" w:styleId="RTFNum46">
    <w:name w:val="RTF_Num 4 6"/>
    <w:qFormat/>
    <w:rPr>
      <w:sz w:val="20"/>
    </w:rPr>
  </w:style>
  <w:style w:type="character" w:styleId="RTFNum47">
    <w:name w:val="RTF_Num 4 7"/>
    <w:qFormat/>
    <w:rPr>
      <w:sz w:val="20"/>
    </w:rPr>
  </w:style>
  <w:style w:type="character" w:styleId="RTFNum48">
    <w:name w:val="RTF_Num 4 8"/>
    <w:qFormat/>
    <w:rPr>
      <w:sz w:val="20"/>
    </w:rPr>
  </w:style>
  <w:style w:type="character" w:styleId="RTFNum49">
    <w:name w:val="RTF_Num 4 9"/>
    <w:qFormat/>
    <w:rPr>
      <w:sz w:val="20"/>
    </w:rPr>
  </w:style>
  <w:style w:type="character" w:styleId="RTFNum52">
    <w:name w:val="RTF_Num 5 2"/>
    <w:qFormat/>
    <w:rPr>
      <w:sz w:val="20"/>
    </w:rPr>
  </w:style>
  <w:style w:type="character" w:styleId="RTFNum55">
    <w:name w:val="RTF_Num 5 5"/>
    <w:qFormat/>
    <w:rPr>
      <w:rFonts w:ascii="Courier New" w:hAnsi="Courier New"/>
      <w:sz w:val="20"/>
    </w:rPr>
  </w:style>
  <w:style w:type="character" w:styleId="RTFNum58">
    <w:name w:val="RTF_Num 5 8"/>
    <w:qFormat/>
    <w:rPr>
      <w:rFonts w:ascii="Courier New" w:hAnsi="Courier New"/>
      <w:sz w:val="20"/>
    </w:rPr>
  </w:style>
  <w:style w:type="character" w:styleId="RTFNum61">
    <w:name w:val="RTF_Num 6 1"/>
    <w:qFormat/>
    <w:rPr>
      <w:sz w:val="20"/>
    </w:rPr>
  </w:style>
  <w:style w:type="character" w:styleId="RTFNum62">
    <w:name w:val="RTF_Num 6 2"/>
    <w:qFormat/>
    <w:rPr>
      <w:b/>
      <w:sz w:val="20"/>
      <w:u w:val="single"/>
    </w:rPr>
  </w:style>
  <w:style w:type="character" w:styleId="RTFNum63">
    <w:name w:val="RTF_Num 6 3"/>
    <w:qFormat/>
    <w:rPr>
      <w:sz w:val="20"/>
    </w:rPr>
  </w:style>
  <w:style w:type="character" w:styleId="RTFNum64">
    <w:name w:val="RTF_Num 6 4"/>
    <w:qFormat/>
    <w:rPr>
      <w:sz w:val="20"/>
    </w:rPr>
  </w:style>
  <w:style w:type="character" w:styleId="RTFNum65">
    <w:name w:val="RTF_Num 6 5"/>
    <w:qFormat/>
    <w:rPr>
      <w:sz w:val="20"/>
    </w:rPr>
  </w:style>
  <w:style w:type="character" w:styleId="RTFNum66">
    <w:name w:val="RTF_Num 6 6"/>
    <w:qFormat/>
    <w:rPr>
      <w:sz w:val="20"/>
    </w:rPr>
  </w:style>
  <w:style w:type="character" w:styleId="RTFNum67">
    <w:name w:val="RTF_Num 6 7"/>
    <w:qFormat/>
    <w:rPr>
      <w:sz w:val="20"/>
    </w:rPr>
  </w:style>
  <w:style w:type="character" w:styleId="RTFNum68">
    <w:name w:val="RTF_Num 6 8"/>
    <w:qFormat/>
    <w:rPr>
      <w:sz w:val="20"/>
    </w:rPr>
  </w:style>
  <w:style w:type="character" w:styleId="RTFNum69">
    <w:name w:val="RTF_Num 6 9"/>
    <w:qFormat/>
    <w:rPr>
      <w:sz w:val="20"/>
    </w:rPr>
  </w:style>
  <w:style w:type="character" w:styleId="RTFNum71">
    <w:name w:val="RTF_Num 7 1"/>
    <w:qFormat/>
    <w:rPr>
      <w:sz w:val="20"/>
    </w:rPr>
  </w:style>
  <w:style w:type="character" w:styleId="RTFNum72">
    <w:name w:val="RTF_Num 7 2"/>
    <w:qFormat/>
    <w:rPr>
      <w:sz w:val="20"/>
    </w:rPr>
  </w:style>
  <w:style w:type="character" w:styleId="RTFNum73">
    <w:name w:val="RTF_Num 7 3"/>
    <w:qFormat/>
    <w:rPr>
      <w:sz w:val="20"/>
    </w:rPr>
  </w:style>
  <w:style w:type="character" w:styleId="RTFNum74">
    <w:name w:val="RTF_Num 7 4"/>
    <w:qFormat/>
    <w:rPr>
      <w:sz w:val="20"/>
    </w:rPr>
  </w:style>
  <w:style w:type="character" w:styleId="RTFNum75">
    <w:name w:val="RTF_Num 7 5"/>
    <w:qFormat/>
    <w:rPr>
      <w:sz w:val="20"/>
    </w:rPr>
  </w:style>
  <w:style w:type="character" w:styleId="RTFNum76">
    <w:name w:val="RTF_Num 7 6"/>
    <w:qFormat/>
    <w:rPr>
      <w:sz w:val="20"/>
    </w:rPr>
  </w:style>
  <w:style w:type="character" w:styleId="RTFNum77">
    <w:name w:val="RTF_Num 7 7"/>
    <w:qFormat/>
    <w:rPr>
      <w:sz w:val="20"/>
    </w:rPr>
  </w:style>
  <w:style w:type="character" w:styleId="RTFNum78">
    <w:name w:val="RTF_Num 7 8"/>
    <w:qFormat/>
    <w:rPr>
      <w:sz w:val="20"/>
    </w:rPr>
  </w:style>
  <w:style w:type="character" w:styleId="RTFNum79">
    <w:name w:val="RTF_Num 7 9"/>
    <w:qFormat/>
    <w:rPr>
      <w:sz w:val="20"/>
    </w:rPr>
  </w:style>
  <w:style w:type="character" w:styleId="RTFNum81">
    <w:name w:val="RTF_Num 8 1"/>
    <w:qFormat/>
    <w:rPr>
      <w:sz w:val="20"/>
    </w:rPr>
  </w:style>
  <w:style w:type="character" w:styleId="RTFNum82">
    <w:name w:val="RTF_Num 8 2"/>
    <w:qFormat/>
    <w:rPr>
      <w:sz w:val="20"/>
    </w:rPr>
  </w:style>
  <w:style w:type="character" w:styleId="RTFNum83">
    <w:name w:val="RTF_Num 8 3"/>
    <w:qFormat/>
    <w:rPr>
      <w:sz w:val="20"/>
    </w:rPr>
  </w:style>
  <w:style w:type="character" w:styleId="RTFNum84">
    <w:name w:val="RTF_Num 8 4"/>
    <w:qFormat/>
    <w:rPr>
      <w:sz w:val="20"/>
    </w:rPr>
  </w:style>
  <w:style w:type="character" w:styleId="RTFNum85">
    <w:name w:val="RTF_Num 8 5"/>
    <w:qFormat/>
    <w:rPr>
      <w:sz w:val="20"/>
    </w:rPr>
  </w:style>
  <w:style w:type="character" w:styleId="RTFNum86">
    <w:name w:val="RTF_Num 8 6"/>
    <w:qFormat/>
    <w:rPr>
      <w:sz w:val="20"/>
    </w:rPr>
  </w:style>
  <w:style w:type="character" w:styleId="RTFNum87">
    <w:name w:val="RTF_Num 8 7"/>
    <w:qFormat/>
    <w:rPr>
      <w:sz w:val="20"/>
    </w:rPr>
  </w:style>
  <w:style w:type="character" w:styleId="RTFNum88">
    <w:name w:val="RTF_Num 8 8"/>
    <w:qFormat/>
    <w:rPr>
      <w:sz w:val="20"/>
    </w:rPr>
  </w:style>
  <w:style w:type="character" w:styleId="RTFNum89">
    <w:name w:val="RTF_Num 8 9"/>
    <w:qFormat/>
    <w:rPr>
      <w:sz w:val="20"/>
    </w:rPr>
  </w:style>
  <w:style w:type="character" w:styleId="RTFNum91">
    <w:name w:val="RTF_Num 9 1"/>
    <w:qFormat/>
    <w:rPr>
      <w:sz w:val="20"/>
    </w:rPr>
  </w:style>
  <w:style w:type="character" w:styleId="RTFNum92">
    <w:name w:val="RTF_Num 9 2"/>
    <w:qFormat/>
    <w:rPr>
      <w:sz w:val="20"/>
    </w:rPr>
  </w:style>
  <w:style w:type="character" w:styleId="RTFNum93">
    <w:name w:val="RTF_Num 9 3"/>
    <w:qFormat/>
    <w:rPr>
      <w:sz w:val="20"/>
    </w:rPr>
  </w:style>
  <w:style w:type="character" w:styleId="RTFNum94">
    <w:name w:val="RTF_Num 9 4"/>
    <w:qFormat/>
    <w:rPr>
      <w:sz w:val="20"/>
    </w:rPr>
  </w:style>
  <w:style w:type="character" w:styleId="RTFNum95">
    <w:name w:val="RTF_Num 9 5"/>
    <w:qFormat/>
    <w:rPr>
      <w:sz w:val="20"/>
    </w:rPr>
  </w:style>
  <w:style w:type="character" w:styleId="RTFNum96">
    <w:name w:val="RTF_Num 9 6"/>
    <w:qFormat/>
    <w:rPr>
      <w:sz w:val="20"/>
    </w:rPr>
  </w:style>
  <w:style w:type="character" w:styleId="RTFNum97">
    <w:name w:val="RTF_Num 9 7"/>
    <w:qFormat/>
    <w:rPr>
      <w:sz w:val="20"/>
    </w:rPr>
  </w:style>
  <w:style w:type="character" w:styleId="RTFNum98">
    <w:name w:val="RTF_Num 9 8"/>
    <w:qFormat/>
    <w:rPr>
      <w:sz w:val="20"/>
    </w:rPr>
  </w:style>
  <w:style w:type="character" w:styleId="RTFNum99">
    <w:name w:val="RTF_Num 9 9"/>
    <w:qFormat/>
    <w:rPr>
      <w:sz w:val="20"/>
    </w:rPr>
  </w:style>
  <w:style w:type="character" w:styleId="RTFNum102">
    <w:name w:val="RTF_Num 10 2"/>
    <w:qFormat/>
    <w:rPr>
      <w:sz w:val="20"/>
    </w:rPr>
  </w:style>
  <w:style w:type="character" w:styleId="RTFNum105">
    <w:name w:val="RTF_Num 10 5"/>
    <w:qFormat/>
    <w:rPr>
      <w:rFonts w:ascii="Courier New" w:hAnsi="Courier New"/>
      <w:sz w:val="20"/>
    </w:rPr>
  </w:style>
  <w:style w:type="character" w:styleId="RTFNum108">
    <w:name w:val="RTF_Num 10 8"/>
    <w:qFormat/>
    <w:rPr>
      <w:rFonts w:ascii="Courier New" w:hAnsi="Courier New"/>
      <w:sz w:val="20"/>
    </w:rPr>
  </w:style>
  <w:style w:type="character" w:styleId="RTFNum121">
    <w:name w:val="RTF_Num 12 1"/>
    <w:qFormat/>
    <w:rPr>
      <w:sz w:val="20"/>
    </w:rPr>
  </w:style>
  <w:style w:type="character" w:styleId="RTFNum122">
    <w:name w:val="RTF_Num 12 2"/>
    <w:qFormat/>
    <w:rPr>
      <w:sz w:val="20"/>
    </w:rPr>
  </w:style>
  <w:style w:type="character" w:styleId="RTFNum123">
    <w:name w:val="RTF_Num 12 3"/>
    <w:qFormat/>
    <w:rPr>
      <w:sz w:val="20"/>
    </w:rPr>
  </w:style>
  <w:style w:type="character" w:styleId="RTFNum124">
    <w:name w:val="RTF_Num 12 4"/>
    <w:qFormat/>
    <w:rPr>
      <w:sz w:val="20"/>
    </w:rPr>
  </w:style>
  <w:style w:type="character" w:styleId="RTFNum125">
    <w:name w:val="RTF_Num 12 5"/>
    <w:qFormat/>
    <w:rPr>
      <w:sz w:val="20"/>
    </w:rPr>
  </w:style>
  <w:style w:type="character" w:styleId="RTFNum126">
    <w:name w:val="RTF_Num 12 6"/>
    <w:qFormat/>
    <w:rPr>
      <w:sz w:val="20"/>
    </w:rPr>
  </w:style>
  <w:style w:type="character" w:styleId="RTFNum127">
    <w:name w:val="RTF_Num 12 7"/>
    <w:qFormat/>
    <w:rPr>
      <w:sz w:val="20"/>
    </w:rPr>
  </w:style>
  <w:style w:type="character" w:styleId="RTFNum128">
    <w:name w:val="RTF_Num 12 8"/>
    <w:qFormat/>
    <w:rPr>
      <w:sz w:val="20"/>
    </w:rPr>
  </w:style>
  <w:style w:type="character" w:styleId="RTFNum129">
    <w:name w:val="RTF_Num 12 9"/>
    <w:qFormat/>
    <w:rPr>
      <w:sz w:val="20"/>
    </w:rPr>
  </w:style>
  <w:style w:type="character" w:styleId="RTFNum131">
    <w:name w:val="RTF_Num 13 1"/>
    <w:qFormat/>
    <w:rPr>
      <w:sz w:val="20"/>
    </w:rPr>
  </w:style>
  <w:style w:type="character" w:styleId="RTFNum132">
    <w:name w:val="RTF_Num 13 2"/>
    <w:qFormat/>
    <w:rPr>
      <w:sz w:val="20"/>
    </w:rPr>
  </w:style>
  <w:style w:type="character" w:styleId="RTFNum133">
    <w:name w:val="RTF_Num 13 3"/>
    <w:qFormat/>
    <w:rPr>
      <w:sz w:val="20"/>
    </w:rPr>
  </w:style>
  <w:style w:type="character" w:styleId="RTFNum134">
    <w:name w:val="RTF_Num 13 4"/>
    <w:qFormat/>
    <w:rPr>
      <w:sz w:val="20"/>
    </w:rPr>
  </w:style>
  <w:style w:type="character" w:styleId="RTFNum135">
    <w:name w:val="RTF_Num 13 5"/>
    <w:qFormat/>
    <w:rPr>
      <w:sz w:val="20"/>
    </w:rPr>
  </w:style>
  <w:style w:type="character" w:styleId="RTFNum136">
    <w:name w:val="RTF_Num 13 6"/>
    <w:qFormat/>
    <w:rPr>
      <w:sz w:val="20"/>
    </w:rPr>
  </w:style>
  <w:style w:type="character" w:styleId="RTFNum137">
    <w:name w:val="RTF_Num 13 7"/>
    <w:qFormat/>
    <w:rPr>
      <w:sz w:val="20"/>
    </w:rPr>
  </w:style>
  <w:style w:type="character" w:styleId="RTFNum138">
    <w:name w:val="RTF_Num 13 8"/>
    <w:qFormat/>
    <w:rPr>
      <w:sz w:val="20"/>
    </w:rPr>
  </w:style>
  <w:style w:type="character" w:styleId="RTFNum139">
    <w:name w:val="RTF_Num 13 9"/>
    <w:qFormat/>
    <w:rPr>
      <w:sz w:val="20"/>
    </w:rPr>
  </w:style>
  <w:style w:type="character" w:styleId="RTFNum141">
    <w:name w:val="RTF_Num 14 1"/>
    <w:qFormat/>
    <w:rPr>
      <w:sz w:val="20"/>
    </w:rPr>
  </w:style>
  <w:style w:type="character" w:styleId="RTFNum142">
    <w:name w:val="RTF_Num 14 2"/>
    <w:qFormat/>
    <w:rPr>
      <w:sz w:val="20"/>
    </w:rPr>
  </w:style>
  <w:style w:type="character" w:styleId="RTFNum143">
    <w:name w:val="RTF_Num 14 3"/>
    <w:qFormat/>
    <w:rPr>
      <w:sz w:val="20"/>
    </w:rPr>
  </w:style>
  <w:style w:type="character" w:styleId="RTFNum144">
    <w:name w:val="RTF_Num 14 4"/>
    <w:qFormat/>
    <w:rPr>
      <w:sz w:val="20"/>
    </w:rPr>
  </w:style>
  <w:style w:type="character" w:styleId="RTFNum145">
    <w:name w:val="RTF_Num 14 5"/>
    <w:qFormat/>
    <w:rPr>
      <w:sz w:val="20"/>
    </w:rPr>
  </w:style>
  <w:style w:type="character" w:styleId="RTFNum146">
    <w:name w:val="RTF_Num 14 6"/>
    <w:qFormat/>
    <w:rPr>
      <w:sz w:val="20"/>
    </w:rPr>
  </w:style>
  <w:style w:type="character" w:styleId="RTFNum147">
    <w:name w:val="RTF_Num 14 7"/>
    <w:qFormat/>
    <w:rPr>
      <w:sz w:val="20"/>
    </w:rPr>
  </w:style>
  <w:style w:type="character" w:styleId="RTFNum148">
    <w:name w:val="RTF_Num 14 8"/>
    <w:qFormat/>
    <w:rPr>
      <w:sz w:val="20"/>
    </w:rPr>
  </w:style>
  <w:style w:type="character" w:styleId="RTFNum149">
    <w:name w:val="RTF_Num 14 9"/>
    <w:qFormat/>
    <w:rPr>
      <w:sz w:val="20"/>
    </w:rPr>
  </w:style>
  <w:style w:type="character" w:styleId="RTFNum151">
    <w:name w:val="RTF_Num 15 1"/>
    <w:qFormat/>
    <w:rPr>
      <w:sz w:val="20"/>
    </w:rPr>
  </w:style>
  <w:style w:type="character" w:styleId="RTFNum152">
    <w:name w:val="RTF_Num 15 2"/>
    <w:qFormat/>
    <w:rPr>
      <w:sz w:val="20"/>
    </w:rPr>
  </w:style>
  <w:style w:type="character" w:styleId="RTFNum153">
    <w:name w:val="RTF_Num 15 3"/>
    <w:qFormat/>
    <w:rPr>
      <w:sz w:val="20"/>
    </w:rPr>
  </w:style>
  <w:style w:type="character" w:styleId="RTFNum154">
    <w:name w:val="RTF_Num 15 4"/>
    <w:qFormat/>
    <w:rPr>
      <w:sz w:val="20"/>
    </w:rPr>
  </w:style>
  <w:style w:type="character" w:styleId="RTFNum155">
    <w:name w:val="RTF_Num 15 5"/>
    <w:qFormat/>
    <w:rPr>
      <w:sz w:val="20"/>
    </w:rPr>
  </w:style>
  <w:style w:type="character" w:styleId="RTFNum156">
    <w:name w:val="RTF_Num 15 6"/>
    <w:qFormat/>
    <w:rPr>
      <w:sz w:val="20"/>
    </w:rPr>
  </w:style>
  <w:style w:type="character" w:styleId="RTFNum157">
    <w:name w:val="RTF_Num 15 7"/>
    <w:qFormat/>
    <w:rPr>
      <w:sz w:val="20"/>
    </w:rPr>
  </w:style>
  <w:style w:type="character" w:styleId="RTFNum158">
    <w:name w:val="RTF_Num 15 8"/>
    <w:qFormat/>
    <w:rPr>
      <w:sz w:val="20"/>
    </w:rPr>
  </w:style>
  <w:style w:type="character" w:styleId="RTFNum159">
    <w:name w:val="RTF_Num 15 9"/>
    <w:qFormat/>
    <w:rPr>
      <w:sz w:val="20"/>
    </w:rPr>
  </w:style>
  <w:style w:type="character" w:styleId="NumberingSymbols">
    <w:name w:val="Numbering Symbols"/>
    <w:qFormat/>
    <w:rPr>
      <w:sz w:val="20"/>
      <w:lang w:val="en-US" w:eastAsia="zxx"/>
    </w:rPr>
  </w:style>
  <w:style w:type="character" w:styleId="WWNumberingSymbols">
    <w:name w:val="WW-Numbering Symbols"/>
    <w:qFormat/>
    <w:rPr>
      <w:sz w:val="20"/>
      <w:lang w:val="en-US" w:eastAsia="zxx"/>
    </w:rPr>
  </w:style>
  <w:style w:type="character" w:styleId="Bullets">
    <w:name w:val="Bullets"/>
    <w:qFormat/>
    <w:rPr>
      <w:rFonts w:ascii="OpenSymbol" w:hAnsi="OpenSymbol" w:eastAsia="Times New Roman"/>
      <w:sz w:val="20"/>
      <w:lang w:val="en-US" w:eastAsia="zxx"/>
    </w:rPr>
  </w:style>
  <w:style w:type="character" w:styleId="WWNumberingSymbols1">
    <w:name w:val="WW-Numbering Symbols1"/>
    <w:qFormat/>
    <w:rPr>
      <w:sz w:val="20"/>
      <w:lang w:val="en-US" w:eastAsia="zxx"/>
    </w:rPr>
  </w:style>
  <w:style w:type="character" w:styleId="WWNumberingSymbols12">
    <w:name w:val="WW-Numbering Symbols12"/>
    <w:qFormat/>
    <w:rPr>
      <w:sz w:val="20"/>
      <w:lang w:val="en-US" w:eastAsia="zxx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>
      <w:spacing w:before="0" w:after="120"/>
    </w:pPr>
    <w:rPr>
      <w:rFonts w:ascii="Times" w:hAnsi="Times" w:cs="Time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/>
    <w:rPr>
      <w:rFonts w:ascii="Arial" w:hAnsi="Arial"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ru-RU" w:eastAsia="ru-RU" w:bidi="ar-SA"/>
    </w:rPr>
  </w:style>
  <w:style w:type="paragraph" w:styleId="Title">
    <w:name w:val="Title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1">
    <w:name w:val="caption"/>
    <w:basedOn w:val="Normal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Subtitle">
    <w:name w:val="Subtitle"/>
    <w:basedOn w:val="Heading"/>
    <w:qFormat/>
    <w:pPr>
      <w:keepNext w:val="true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styleId="Index1">
    <w:name w:val="Index1"/>
    <w:basedOn w:val="Normal"/>
    <w:qFormat/>
    <w:pPr/>
    <w:rPr>
      <w:rFonts w:ascii="Arial" w:hAnsi="Arial" w:cs="Arial"/>
    </w:rPr>
  </w:style>
  <w:style w:type="paragraph" w:styleId="WWTitle">
    <w:name w:val="WW-Title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">
    <w:name w:val="WW-caption"/>
    <w:basedOn w:val="Normal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WWIndex">
    <w:name w:val="WW-Index"/>
    <w:basedOn w:val="Normal"/>
    <w:qFormat/>
    <w:pPr/>
    <w:rPr>
      <w:rFonts w:ascii="Arial" w:hAnsi="Arial" w:cs="Arial"/>
    </w:rPr>
  </w:style>
  <w:style w:type="paragraph" w:styleId="WWTitle1">
    <w:name w:val="WW-Title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">
    <w:name w:val="WW-caption1"/>
    <w:basedOn w:val="Normal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WWIndex1">
    <w:name w:val="WW-Index1"/>
    <w:basedOn w:val="Normal"/>
    <w:qFormat/>
    <w:pPr/>
    <w:rPr>
      <w:rFonts w:ascii="Arial" w:hAnsi="Arial" w:cs="Arial"/>
    </w:rPr>
  </w:style>
  <w:style w:type="paragraph" w:styleId="WWTitle11">
    <w:name w:val="WW-Title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">
    <w:name w:val="WW-caption11"/>
    <w:basedOn w:val="Normal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WWIndex11">
    <w:name w:val="WW-Index11"/>
    <w:basedOn w:val="Normal"/>
    <w:qFormat/>
    <w:pPr/>
    <w:rPr>
      <w:rFonts w:ascii="Arial" w:hAnsi="Arial" w:cs="Arial"/>
    </w:rPr>
  </w:style>
  <w:style w:type="paragraph" w:styleId="WWTitle111">
    <w:name w:val="WW-Title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">
    <w:name w:val="WW-caption111"/>
    <w:basedOn w:val="Normal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WWIndex111">
    <w:name w:val="WW-Index111"/>
    <w:basedOn w:val="Normal"/>
    <w:qFormat/>
    <w:pPr/>
    <w:rPr>
      <w:rFonts w:ascii="Arial" w:hAnsi="Arial" w:cs="Arial"/>
    </w:rPr>
  </w:style>
  <w:style w:type="paragraph" w:styleId="WWTitle1111">
    <w:name w:val="WW-Title111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WWcaption1111">
    <w:name w:val="WW-caption1111"/>
    <w:basedOn w:val="Normal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WWIndex1111">
    <w:name w:val="WW-Index1111"/>
    <w:basedOn w:val="Normal"/>
    <w:qFormat/>
    <w:pPr/>
    <w:rPr>
      <w:rFonts w:ascii="Arial" w:hAnsi="Arial" w:cs="Arial"/>
    </w:rPr>
  </w:style>
  <w:style w:type="paragraph" w:styleId="WWcaption11111">
    <w:name w:val="WW-caption11111"/>
    <w:basedOn w:val="Normal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WWIndex11111">
    <w:name w:val="WW-Index11111"/>
    <w:basedOn w:val="Normal"/>
    <w:qFormat/>
    <w:pPr/>
    <w:rPr>
      <w:rFonts w:ascii="Arial" w:hAnsi="Arial" w:cs="Arial"/>
    </w:rPr>
  </w:style>
  <w:style w:type="paragraph" w:styleId="WWTitle11111">
    <w:name w:val="WW-Title11111"/>
    <w:basedOn w:val="Normal"/>
    <w:qFormat/>
    <w:pPr>
      <w:keepNext w:val="true"/>
      <w:spacing w:before="240" w:after="120"/>
    </w:pPr>
    <w:rPr>
      <w:rFonts w:ascii="Helvetica" w:hAnsi="Helvetica" w:cs="Helvetica"/>
      <w:sz w:val="28"/>
      <w:szCs w:val="28"/>
    </w:rPr>
  </w:style>
  <w:style w:type="paragraph" w:styleId="WWcaption111111">
    <w:name w:val="WW-caption111111"/>
    <w:basedOn w:val="Normal"/>
    <w:qFormat/>
    <w:pPr>
      <w:spacing w:before="120" w:after="120"/>
    </w:pPr>
    <w:rPr>
      <w:rFonts w:ascii="Times" w:hAnsi="Times" w:cs="Times"/>
      <w:i/>
      <w:iCs/>
    </w:rPr>
  </w:style>
  <w:style w:type="paragraph" w:styleId="WWIndex111111">
    <w:name w:val="WW-Index111111"/>
    <w:basedOn w:val="Normal"/>
    <w:qFormat/>
    <w:pPr/>
    <w:rPr>
      <w:rFonts w:ascii="Times" w:hAnsi="Times" w:cs="Times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Style18">
    <w:name w:val="Îáû÷íûé"/>
    <w:qFormat/>
    <w:pPr>
      <w:widowControl w:val="false"/>
      <w:bidi w:val="0"/>
      <w:jc w:val="lef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ru-RU" w:eastAsia="ru-RU" w:bidi="ar-SA"/>
    </w:rPr>
  </w:style>
  <w:style w:type="paragraph" w:styleId="Doc">
    <w:name w:val="doc"/>
    <w:basedOn w:val="Normal"/>
    <w:qFormat/>
    <w:pPr>
      <w:widowControl/>
      <w:spacing w:lineRule="atLeast" w:line="240" w:before="30" w:after="30"/>
      <w:ind w:firstLine="300"/>
      <w:jc w:val="both"/>
    </w:pPr>
    <w:rPr>
      <w:rFonts w:ascii="Tahoma" w:hAnsi="Tahoma" w:cs="Tahoma"/>
      <w:color w:val="333333"/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jc w:val="left"/>
      <w:textAlignment w:val="auto"/>
    </w:pPr>
    <w:rPr>
      <w:rFonts w:ascii="Times New Roman" w:hAnsi="Times New Roman" w:eastAsia="Courier New" w:cs="Times New Roman"/>
      <w:color w:val="000000"/>
      <w:kern w:val="2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Pages>99</Pages>
  <Words>342</Words>
  <Characters>2738</Characters>
  <CharactersWithSpaces>2401</CharactersWithSpaces>
  <Company>Mera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2022-04-11T13:40:00Z</dcterms:created>
  <dc:creator>OTIZ</dc:creator>
  <dc:description/>
  <dc:language>en-US</dc:language>
  <cp:lastModifiedBy/>
  <cp:lastPrinted>2023-04-25T10:44:00Z</cp:lastPrinted>
  <dcterms:modified xsi:type="dcterms:W3CDTF">2023-04-26T11:53:00Z</dcterms:modified>
  <cp:revision>10</cp:revision>
  <dc:subject/>
  <dc:title>ﾎﾒﾊﾐﾛﾒﾎﾅ  ﾀﾊﾖﾈﾎﾍﾅﾐﾍﾎﾅ ﾎﾁﾙﾅﾑﾒﾂﾎ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kolenov</vt:lpwstr>
  </property>
</Properties>
</file>